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16AB67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576227">
        <w:rPr>
          <w:bCs/>
          <w:color w:val="0D0D0D" w:themeColor="text1" w:themeTint="F2"/>
        </w:rPr>
        <w:t>413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769C03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76667">
        <w:rPr>
          <w:rFonts w:ascii="Tahoma" w:hAnsi="Tahoma" w:cs="Tahoma"/>
          <w:b/>
          <w:bCs/>
          <w:sz w:val="20"/>
          <w:szCs w:val="20"/>
        </w:rPr>
        <w:t>86MS0052-01-2025-001901-87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28CDB0E7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</w:t>
      </w:r>
      <w:r w:rsidRPr="002A0ECE">
        <w:rPr>
          <w:b/>
          <w:sz w:val="26"/>
          <w:szCs w:val="26"/>
        </w:rPr>
        <w:t>нтины Валерьевны</w:t>
      </w:r>
      <w:r w:rsidRPr="002A0ECE">
        <w:rPr>
          <w:sz w:val="26"/>
          <w:szCs w:val="26"/>
        </w:rPr>
        <w:t xml:space="preserve">, </w:t>
      </w:r>
      <w:r w:rsidR="00D602B1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D602B1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D602B1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D602B1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61C6FE4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A0ECE">
        <w:rPr>
          <w:sz w:val="26"/>
          <w:szCs w:val="26"/>
        </w:rPr>
        <w:t>Гаголкина В.В., являясь генеральным директор</w:t>
      </w:r>
      <w:r w:rsidRPr="002A0ECE">
        <w:rPr>
          <w:sz w:val="26"/>
          <w:szCs w:val="26"/>
        </w:rPr>
        <w:t xml:space="preserve">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="00E65769">
        <w:rPr>
          <w:color w:val="0D0D0D" w:themeColor="text1" w:themeTint="F2"/>
          <w:sz w:val="26"/>
          <w:szCs w:val="26"/>
        </w:rPr>
        <w:t>12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="00C52163">
        <w:rPr>
          <w:color w:val="0D0D0D" w:themeColor="text1" w:themeTint="F2"/>
          <w:sz w:val="26"/>
          <w:szCs w:val="26"/>
        </w:rPr>
        <w:t>ев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="00E65769">
        <w:rPr>
          <w:color w:val="0D0D0D" w:themeColor="text1" w:themeTint="F2"/>
          <w:sz w:val="26"/>
          <w:szCs w:val="26"/>
        </w:rPr>
        <w:t>27</w:t>
      </w:r>
      <w:r w:rsidRPr="007020CF" w:rsidR="00C577D1">
        <w:rPr>
          <w:color w:val="0D0D0D" w:themeColor="text1" w:themeTint="F2"/>
          <w:sz w:val="26"/>
          <w:szCs w:val="26"/>
        </w:rPr>
        <w:t>.</w:t>
      </w:r>
      <w:r w:rsidR="00E65769">
        <w:rPr>
          <w:color w:val="0D0D0D" w:themeColor="text1" w:themeTint="F2"/>
          <w:sz w:val="26"/>
          <w:szCs w:val="26"/>
        </w:rPr>
        <w:t>01</w:t>
      </w:r>
      <w:r w:rsidRPr="007020CF" w:rsidR="00C577D1">
        <w:rPr>
          <w:color w:val="0D0D0D" w:themeColor="text1" w:themeTint="F2"/>
          <w:sz w:val="26"/>
          <w:szCs w:val="26"/>
        </w:rPr>
        <w:t>.202</w:t>
      </w:r>
      <w:r w:rsidR="00E65769">
        <w:rPr>
          <w:color w:val="0D0D0D" w:themeColor="text1" w:themeTint="F2"/>
          <w:sz w:val="26"/>
          <w:szCs w:val="26"/>
        </w:rPr>
        <w:t>5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>не предоставлен, в</w:t>
      </w:r>
      <w:r w:rsidRPr="007020CF">
        <w:rPr>
          <w:color w:val="0D0D0D" w:themeColor="text1" w:themeTint="F2"/>
          <w:sz w:val="26"/>
          <w:szCs w:val="26"/>
        </w:rPr>
        <w:t xml:space="preserve"> результате чего нарушены требования п. 7 ст. 431 Налогового кодекса РФ.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</w:t>
      </w:r>
      <w:r w:rsidRPr="007769E5">
        <w:rPr>
          <w:color w:val="0D0D0D" w:themeColor="text1" w:themeTint="F2"/>
          <w:sz w:val="26"/>
          <w:szCs w:val="26"/>
        </w:rPr>
        <w:t>ья, исследовал следующие доказательства по делу:</w:t>
      </w:r>
    </w:p>
    <w:p w:rsidR="00784F16" w:rsidRPr="007769E5" w:rsidP="00784F16" w14:paraId="3FF8EE0C" w14:textId="5185C03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7B6E87">
        <w:rPr>
          <w:color w:val="0D0D0D" w:themeColor="text1" w:themeTint="F2"/>
          <w:sz w:val="26"/>
          <w:szCs w:val="26"/>
        </w:rPr>
        <w:t>6</w:t>
      </w:r>
      <w:r w:rsidR="00E65769">
        <w:rPr>
          <w:color w:val="0D0D0D" w:themeColor="text1" w:themeTint="F2"/>
          <w:sz w:val="26"/>
          <w:szCs w:val="26"/>
        </w:rPr>
        <w:t>117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 о времени и месте составления протокола об административном правонарушении;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</w:t>
      </w:r>
      <w:r w:rsidRPr="007769E5">
        <w:rPr>
          <w:color w:val="0D0D0D" w:themeColor="text1" w:themeTint="F2"/>
          <w:sz w:val="26"/>
          <w:szCs w:val="26"/>
        </w:rPr>
        <w:t xml:space="preserve">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 xml:space="preserve">нарушение установленных законодательством о налогах и сборах сроков </w:t>
      </w:r>
      <w:r w:rsidRPr="00C335D9" w:rsidR="00D458FE">
        <w:rPr>
          <w:color w:val="000099"/>
          <w:sz w:val="26"/>
          <w:szCs w:val="26"/>
        </w:rPr>
        <w:t>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7769E5">
        <w:rPr>
          <w:color w:val="0D0D0D" w:themeColor="text1" w:themeTint="F2"/>
          <w:sz w:val="26"/>
          <w:szCs w:val="26"/>
        </w:rPr>
        <w:t>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</w:t>
      </w:r>
      <w:r w:rsidRPr="007769E5">
        <w:rPr>
          <w:color w:val="0D0D0D" w:themeColor="text1" w:themeTint="F2"/>
          <w:sz w:val="26"/>
          <w:szCs w:val="26"/>
        </w:rPr>
        <w:t>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B16F3EF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58481AC2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76227"/>
    <w:rsid w:val="005A7A11"/>
    <w:rsid w:val="005E3A9C"/>
    <w:rsid w:val="005F1DB5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8A06A5"/>
    <w:rsid w:val="008C0F63"/>
    <w:rsid w:val="0092385D"/>
    <w:rsid w:val="00971471"/>
    <w:rsid w:val="00976667"/>
    <w:rsid w:val="009C5C00"/>
    <w:rsid w:val="009D0D6F"/>
    <w:rsid w:val="009F69C1"/>
    <w:rsid w:val="00A17CF3"/>
    <w:rsid w:val="00A220E2"/>
    <w:rsid w:val="00A30311"/>
    <w:rsid w:val="00A33869"/>
    <w:rsid w:val="00BA52ED"/>
    <w:rsid w:val="00BC1E97"/>
    <w:rsid w:val="00C335D9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602B1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D3958"/>
    <w:rsid w:val="00F102F6"/>
    <w:rsid w:val="00F443EC"/>
    <w:rsid w:val="00F75FE0"/>
    <w:rsid w:val="00F862F4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